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pubblica, mediante procedura comparativa per l’individuazione di esperti/e cui conferire n. 2 incarichi di natura professionale nell’ambito progetto BO1.1.2.1.a Gemello digitale: Governo e Valorizzazione del Patrimonio Dati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1 - Agenda digitale e innovazione urbana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1.1.2.1 Agenda digitale metropolitana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(CCL/2025/AP-2)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2025/GDB-PAR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2025/GDB-DES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-3809</wp:posOffset>
          </wp:positionH>
          <wp:positionV relativeFrom="page">
            <wp:posOffset>78105</wp:posOffset>
          </wp:positionV>
          <wp:extent cx="7212956" cy="578213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2956" cy="578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CCL/2025/AP-2 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F39I23000940007</w:t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Z6hgpp1aM+aZnCF1xGEuspTnA==">CgMxLjAyCGguZ2pkZ3hzOAByITFxSm5oWUhYSVE0NGtNckVyNi1nZE9oMVFpekU5N0lKSg==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